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3462"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256"/>
        <w:gridCol w:w="3659"/>
        <w:gridCol w:w="1529"/>
        <w:gridCol w:w="5017"/>
      </w:tblGrid>
      <w:tr>
        <w:trPr/>
        <w:tc>
          <w:tcPr>
            <w:tcW w:w="13461" w:type="dxa"/>
            <w:gridSpan w:val="4"/>
            <w:tcBorders/>
            <w:shd w:color="auto" w:fill="F2F2F2" w:themeFill="background1" w:themeFillShade="f2" w:val="clear"/>
          </w:tcPr>
          <w:p>
            <w:pPr>
              <w:pStyle w:val="Normal"/>
              <w:widowControl w:val="false"/>
              <w:spacing w:lineRule="auto" w:line="240" w:before="0" w:after="0"/>
              <w:jc w:val="center"/>
              <w:rPr>
                <w:rFonts w:ascii="Arial" w:hAnsi="Arial" w:eastAsia="Poppins" w:cs="Arial"/>
                <w:color w:val="212529"/>
                <w:sz w:val="28"/>
                <w:szCs w:val="24"/>
                <w:lang w:val="eu-ES"/>
              </w:rPr>
            </w:pPr>
            <w:r>
              <w:rPr>
                <w:rFonts w:eastAsia="Poppins" w:cs="Arial" w:ascii="Arial" w:hAnsi="Arial"/>
                <w:color w:val="212529"/>
                <w:sz w:val="28"/>
                <w:szCs w:val="24"/>
                <w:lang w:val="eu-ES"/>
              </w:rPr>
              <w:t>“</w:t>
            </w:r>
            <w:r>
              <w:rPr>
                <w:rFonts w:eastAsia="Poppins" w:cs="Arial" w:ascii="Arial" w:hAnsi="Arial"/>
                <w:color w:val="212529"/>
                <w:sz w:val="28"/>
                <w:szCs w:val="24"/>
                <w:lang w:val="eu-ES"/>
              </w:rPr>
              <w:t>Ikasleen konpetentzia digitala”ren Atazarako TAULA</w:t>
            </w:r>
          </w:p>
          <w:p>
            <w:pPr>
              <w:pStyle w:val="Normal"/>
              <w:widowControl w:val="false"/>
              <w:spacing w:lineRule="auto" w:line="240" w:before="0" w:after="0"/>
              <w:rPr>
                <w:rFonts w:ascii="Arial" w:hAnsi="Arial" w:eastAsia="Poppins" w:cs="Arial"/>
                <w:b/>
                <w:b/>
                <w:color w:val="212529"/>
                <w:sz w:val="24"/>
                <w:szCs w:val="24"/>
                <w:lang w:val="eu-ES"/>
              </w:rPr>
            </w:pPr>
            <w:r>
              <w:rPr>
                <w:rFonts w:eastAsia="Poppins" w:cs="Arial" w:ascii="Arial" w:hAnsi="Arial"/>
                <w:b/>
                <w:color w:val="212529"/>
                <w:sz w:val="24"/>
                <w:szCs w:val="24"/>
                <w:lang w:val="eu-ES"/>
              </w:rPr>
              <w:t xml:space="preserve">· Izen-Abizenak:  Estibalitz Alkorta Zeberio                                                 </w:t>
            </w:r>
          </w:p>
          <w:p>
            <w:pPr>
              <w:pStyle w:val="Normal"/>
              <w:widowControl w:val="false"/>
              <w:spacing w:lineRule="auto" w:line="240" w:before="0" w:after="0"/>
              <w:rPr>
                <w:rFonts w:ascii="Arial" w:hAnsi="Arial" w:eastAsia="Poppins" w:cs="Arial"/>
                <w:b/>
                <w:b/>
                <w:color w:val="212529"/>
                <w:sz w:val="24"/>
                <w:szCs w:val="24"/>
                <w:lang w:val="eu-ES"/>
              </w:rPr>
            </w:pPr>
            <w:r>
              <w:rPr>
                <w:rFonts w:eastAsia="Poppins" w:cs="Arial" w:ascii="Arial" w:hAnsi="Arial"/>
                <w:b/>
                <w:color w:val="212529"/>
                <w:sz w:val="24"/>
                <w:szCs w:val="24"/>
                <w:lang w:val="eu-ES"/>
              </w:rPr>
              <w:t>· Ikastetxea:  Hirubide BHI</w:t>
            </w:r>
          </w:p>
        </w:tc>
      </w:tr>
      <w:tr>
        <w:trPr/>
        <w:tc>
          <w:tcPr>
            <w:tcW w:w="3256" w:type="dxa"/>
            <w:tcBorders/>
            <w:shd w:color="auto" w:fill="E2EFD9" w:themeFill="accent6" w:themeFillTint="33" w:val="clear"/>
          </w:tcPr>
          <w:p>
            <w:pPr>
              <w:pStyle w:val="Normal"/>
              <w:widowControl w:val="false"/>
              <w:spacing w:lineRule="auto" w:line="240" w:before="0" w:after="0"/>
              <w:jc w:val="center"/>
              <w:rPr>
                <w:rFonts w:ascii="Arial" w:hAnsi="Arial" w:eastAsia="Poppins" w:cs="Arial"/>
                <w:color w:val="212529"/>
                <w:sz w:val="24"/>
                <w:szCs w:val="24"/>
                <w:lang w:val="eu-ES"/>
              </w:rPr>
            </w:pPr>
            <w:r>
              <w:rPr>
                <w:rFonts w:eastAsia="Poppins" w:cs="Arial" w:ascii="Arial" w:hAnsi="Arial"/>
                <w:color w:val="212529"/>
                <w:sz w:val="24"/>
                <w:szCs w:val="24"/>
                <w:lang w:val="eu-ES"/>
              </w:rPr>
              <w:t xml:space="preserve">6. </w:t>
            </w:r>
            <w:r>
              <w:rPr>
                <w:rFonts w:eastAsia="Poppins" w:cs="Arial" w:ascii="Arial" w:hAnsi="Arial"/>
                <w:b/>
                <w:color w:val="212529"/>
                <w:sz w:val="24"/>
                <w:szCs w:val="24"/>
                <w:lang w:val="eu-ES"/>
              </w:rPr>
              <w:t>Ikasleen konpetentzia digitala</w:t>
            </w:r>
          </w:p>
        </w:tc>
        <w:tc>
          <w:tcPr>
            <w:tcW w:w="3659" w:type="dxa"/>
            <w:tcBorders/>
            <w:shd w:color="auto" w:fill="E2EFD9" w:themeFill="accent6" w:themeFillTint="33" w:val="clear"/>
          </w:tcPr>
          <w:p>
            <w:pPr>
              <w:pStyle w:val="Normal"/>
              <w:widowControl w:val="false"/>
              <w:spacing w:lineRule="auto" w:line="240" w:before="0" w:after="0"/>
              <w:jc w:val="center"/>
              <w:rPr>
                <w:rFonts w:ascii="Arial" w:hAnsi="Arial" w:eastAsia="Poppins" w:cs="Arial"/>
                <w:b/>
                <w:b/>
                <w:color w:val="212529"/>
                <w:sz w:val="24"/>
                <w:szCs w:val="24"/>
                <w:lang w:val="eu-ES"/>
              </w:rPr>
            </w:pPr>
            <w:r>
              <w:rPr>
                <w:rFonts w:eastAsia="Poppins" w:cs="Arial" w:ascii="Arial" w:hAnsi="Arial"/>
                <w:b/>
                <w:color w:val="212529"/>
                <w:sz w:val="28"/>
                <w:szCs w:val="24"/>
                <w:lang w:val="eu-ES"/>
              </w:rPr>
              <w:t>Jarduera</w:t>
            </w:r>
          </w:p>
        </w:tc>
        <w:tc>
          <w:tcPr>
            <w:tcW w:w="1529" w:type="dxa"/>
            <w:tcBorders/>
            <w:shd w:color="auto" w:fill="E2EFD9" w:themeFill="accent6" w:themeFillTint="33" w:val="clear"/>
          </w:tcPr>
          <w:p>
            <w:pPr>
              <w:pStyle w:val="Normal"/>
              <w:widowControl w:val="false"/>
              <w:spacing w:lineRule="auto" w:line="240" w:before="0" w:after="0"/>
              <w:jc w:val="center"/>
              <w:rPr>
                <w:rFonts w:ascii="Arial" w:hAnsi="Arial" w:eastAsia="Poppins" w:cs="Arial"/>
                <w:b/>
                <w:b/>
                <w:color w:val="212529"/>
                <w:sz w:val="24"/>
                <w:szCs w:val="24"/>
                <w:lang w:val="eu-ES"/>
              </w:rPr>
            </w:pPr>
            <w:r>
              <w:rPr>
                <w:rFonts w:eastAsia="Poppins" w:cs="Arial" w:ascii="Arial" w:hAnsi="Arial"/>
                <w:b/>
                <w:color w:val="212529"/>
                <w:sz w:val="28"/>
                <w:szCs w:val="24"/>
                <w:lang w:val="eu-ES"/>
              </w:rPr>
              <w:t>Fasea</w:t>
            </w:r>
          </w:p>
        </w:tc>
        <w:tc>
          <w:tcPr>
            <w:tcW w:w="5017" w:type="dxa"/>
            <w:tcBorders/>
            <w:shd w:color="auto" w:fill="E2EFD9" w:themeFill="accent6" w:themeFillTint="33" w:val="clear"/>
          </w:tcPr>
          <w:p>
            <w:pPr>
              <w:pStyle w:val="Normal"/>
              <w:widowControl w:val="false"/>
              <w:spacing w:lineRule="auto" w:line="240" w:before="0" w:after="0"/>
              <w:jc w:val="center"/>
              <w:rPr>
                <w:rFonts w:ascii="Arial" w:hAnsi="Arial" w:eastAsia="Poppins" w:cs="Arial"/>
                <w:b/>
                <w:b/>
                <w:color w:val="212529"/>
                <w:sz w:val="28"/>
                <w:szCs w:val="24"/>
                <w:lang w:val="eu-ES"/>
              </w:rPr>
            </w:pPr>
            <w:r>
              <w:rPr>
                <w:rFonts w:eastAsia="Poppins" w:cs="Arial" w:ascii="Arial" w:hAnsi="Arial"/>
                <w:b/>
                <w:color w:val="212529"/>
                <w:sz w:val="28"/>
                <w:szCs w:val="24"/>
                <w:lang w:val="eu-ES"/>
              </w:rPr>
              <w:t>Justifikazioa</w:t>
            </w:r>
          </w:p>
          <w:p>
            <w:pPr>
              <w:pStyle w:val="Normal"/>
              <w:widowControl w:val="false"/>
              <w:spacing w:lineRule="auto" w:line="240" w:before="0" w:after="0"/>
              <w:jc w:val="center"/>
              <w:rPr>
                <w:rFonts w:ascii="Arial" w:hAnsi="Arial" w:eastAsia="Poppins" w:cs="Arial"/>
                <w:color w:val="212529"/>
                <w:sz w:val="24"/>
                <w:szCs w:val="24"/>
                <w:lang w:val="eu-ES"/>
              </w:rPr>
            </w:pPr>
            <w:r>
              <w:rPr>
                <w:rFonts w:eastAsia="Poppins" w:cs="Arial" w:ascii="Arial" w:hAnsi="Arial"/>
                <w:color w:val="212529"/>
                <w:sz w:val="24"/>
                <w:szCs w:val="24"/>
                <w:lang w:val="eu-ES"/>
              </w:rPr>
              <w:t>(asko jota,</w:t>
            </w:r>
            <w:bookmarkStart w:id="0" w:name="_GoBack"/>
            <w:bookmarkEnd w:id="0"/>
            <w:r>
              <w:rPr>
                <w:rFonts w:eastAsia="Poppins" w:cs="Arial" w:ascii="Arial" w:hAnsi="Arial"/>
                <w:color w:val="212529"/>
                <w:sz w:val="24"/>
                <w:szCs w:val="24"/>
                <w:lang w:val="eu-ES"/>
              </w:rPr>
              <w:t xml:space="preserve"> 3 lerrotan)</w:t>
            </w:r>
          </w:p>
        </w:tc>
      </w:tr>
      <w:tr>
        <w:trPr/>
        <w:tc>
          <w:tcPr>
            <w:tcW w:w="3256" w:type="dxa"/>
            <w:tcBorders/>
          </w:tcPr>
          <w:p>
            <w:pPr>
              <w:pStyle w:val="Normal"/>
              <w:widowControl w:val="false"/>
              <w:spacing w:lineRule="auto" w:line="259" w:before="0" w:after="0"/>
              <w:rPr>
                <w:rFonts w:ascii="Arial" w:hAnsi="Arial" w:eastAsia="Poppins" w:cs="Arial"/>
                <w:color w:val="212529"/>
                <w:sz w:val="24"/>
                <w:szCs w:val="24"/>
                <w:lang w:val="eu-ES"/>
              </w:rPr>
            </w:pPr>
            <w:hyperlink r:id="rId2">
              <w:r>
                <w:rPr>
                  <w:rFonts w:eastAsia="Poppins" w:cs="Arial" w:ascii="Arial" w:hAnsi="Arial"/>
                  <w:color w:val="212529"/>
                  <w:sz w:val="24"/>
                  <w:szCs w:val="24"/>
                  <w:lang w:val="eu-ES"/>
                </w:rPr>
                <w:t>6. 1. Alfabetatze mediatikoa eta alfabetatzea informazioaren eta datuen tratamenduan</w:t>
              </w:r>
            </w:hyperlink>
          </w:p>
          <w:p>
            <w:pPr>
              <w:pStyle w:val="Normal"/>
              <w:widowControl w:val="false"/>
              <w:spacing w:lineRule="auto" w:line="259"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365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Cookie-ak konfiguratzen ikastea.</w:t>
            </w:r>
          </w:p>
        </w:tc>
        <w:tc>
          <w:tcPr>
            <w:tcW w:w="152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Hasiera fasea.</w:t>
            </w:r>
          </w:p>
        </w:tc>
        <w:tc>
          <w:tcPr>
            <w:tcW w:w="5017"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Gaur egun edozein web orritan sartzean cookie-ak azaltzen zaizkigu, eta ohikoena besterik gabe onartzea izan ohi da. Cookie-ek helburu konkretu bat izan ohi dute, eta zer diren jakin eta konfiguratzen ikastea garrantzitsua da.</w:t>
            </w:r>
          </w:p>
        </w:tc>
      </w:tr>
      <w:tr>
        <w:trPr/>
        <w:tc>
          <w:tcPr>
            <w:tcW w:w="3256"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6.2. Komunikazioa, lankidetza eta herritartasun digitala</w:t>
            </w:r>
          </w:p>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365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Blog bat sortzea netiketa arauak aplikatuz.</w:t>
            </w:r>
          </w:p>
        </w:tc>
        <w:tc>
          <w:tcPr>
            <w:tcW w:w="152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Garapen fasea.</w:t>
            </w:r>
          </w:p>
        </w:tc>
        <w:tc>
          <w:tcPr>
            <w:tcW w:w="5017"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Blog bat sortuko dugu gaiarekin lotutako eztabaidak sortzeko. Horretarako, landu ditugun netiketak kontuan hartu eta aplikatuko dituzte.</w:t>
            </w:r>
          </w:p>
        </w:tc>
      </w:tr>
      <w:tr>
        <w:trPr/>
        <w:tc>
          <w:tcPr>
            <w:tcW w:w="3256" w:type="dxa"/>
            <w:tcBorders/>
          </w:tcPr>
          <w:p>
            <w:pPr>
              <w:pStyle w:val="Normal"/>
              <w:widowControl w:val="false"/>
              <w:spacing w:lineRule="auto" w:line="240" w:before="0" w:after="0"/>
              <w:rPr>
                <w:rFonts w:ascii="Arial" w:hAnsi="Arial" w:eastAsia="Poppins" w:cs="Arial"/>
                <w:color w:val="212529"/>
                <w:sz w:val="24"/>
                <w:szCs w:val="24"/>
                <w:lang w:val="eu-ES"/>
              </w:rPr>
            </w:pPr>
            <w:hyperlink r:id="rId3">
              <w:r>
                <w:rPr>
                  <w:rFonts w:eastAsia="Poppins" w:cs="Arial" w:ascii="Arial" w:hAnsi="Arial"/>
                  <w:color w:val="212529"/>
                  <w:sz w:val="24"/>
                  <w:szCs w:val="24"/>
                  <w:lang w:val="eu-ES"/>
                </w:rPr>
                <w:t>6. 3. Eduki digitalak sortzea</w:t>
              </w:r>
            </w:hyperlink>
          </w:p>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365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Aurkezpen digitalak egitean informazio-iturriak aipatzea.</w:t>
            </w:r>
          </w:p>
        </w:tc>
        <w:tc>
          <w:tcPr>
            <w:tcW w:w="152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Garapen fasea.</w:t>
            </w:r>
          </w:p>
        </w:tc>
        <w:tc>
          <w:tcPr>
            <w:tcW w:w="5017"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Aurkezpen digitalak prestatzean iturri fidagarriak identifikatzeko helburua izango da. CC zer den ezagutu beharko genuke, eta egilea aipatzeak duen garrantziaz ere hausnartu beharko dugu.</w:t>
            </w:r>
          </w:p>
        </w:tc>
      </w:tr>
      <w:tr>
        <w:trPr/>
        <w:tc>
          <w:tcPr>
            <w:tcW w:w="3256" w:type="dxa"/>
            <w:tcBorders/>
          </w:tcPr>
          <w:p>
            <w:pPr>
              <w:pStyle w:val="Normal"/>
              <w:widowControl w:val="false"/>
              <w:spacing w:lineRule="auto" w:line="259" w:before="0" w:after="0"/>
              <w:rPr>
                <w:rFonts w:ascii="Arial" w:hAnsi="Arial" w:eastAsia="Poppins" w:cs="Arial"/>
                <w:color w:val="212529"/>
                <w:sz w:val="24"/>
                <w:szCs w:val="24"/>
                <w:lang w:val="eu-ES"/>
              </w:rPr>
            </w:pPr>
            <w:hyperlink r:id="rId4">
              <w:r>
                <w:rPr>
                  <w:rFonts w:eastAsia="Poppins" w:cs="Arial" w:ascii="Arial" w:hAnsi="Arial"/>
                  <w:color w:val="212529"/>
                  <w:sz w:val="24"/>
                  <w:szCs w:val="24"/>
                  <w:lang w:val="eu-ES"/>
                </w:rPr>
                <w:t>6. 4. Erabilera arduratsua eta ongizate digitala</w:t>
              </w:r>
            </w:hyperlink>
          </w:p>
          <w:p>
            <w:pPr>
              <w:pStyle w:val="Normal"/>
              <w:widowControl w:val="false"/>
              <w:spacing w:lineRule="auto" w:line="259"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365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Interneteko ohiko 10 arrisku identifikatzea eta azaltzea Prezi bidez.</w:t>
            </w:r>
          </w:p>
        </w:tc>
        <w:tc>
          <w:tcPr>
            <w:tcW w:w="152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Hasiera eta garapen fasea.</w:t>
            </w:r>
          </w:p>
        </w:tc>
        <w:tc>
          <w:tcPr>
            <w:tcW w:w="5017"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Ikasleei normalean kosta egiten zaie internetek dituen arriskuak ikustea. Eta garrantzirik ez diote ematen, adibidez, edozeinek erabil dezakeen ordenagailu batean erabiltzailea ixteari. Hori guztia lantzeko planteatuko dugu jarduera hau.</w:t>
            </w:r>
          </w:p>
        </w:tc>
      </w:tr>
      <w:tr>
        <w:trPr/>
        <w:tc>
          <w:tcPr>
            <w:tcW w:w="3256" w:type="dxa"/>
            <w:tcBorders/>
          </w:tcPr>
          <w:p>
            <w:pPr>
              <w:pStyle w:val="Normal"/>
              <w:widowControl w:val="false"/>
              <w:spacing w:lineRule="auto" w:line="240" w:before="0" w:after="0"/>
              <w:rPr>
                <w:rFonts w:ascii="Arial" w:hAnsi="Arial" w:eastAsia="Poppins" w:cs="Arial"/>
                <w:color w:val="212529"/>
                <w:sz w:val="24"/>
                <w:szCs w:val="24"/>
                <w:lang w:val="eu-ES"/>
              </w:rPr>
            </w:pPr>
            <w:hyperlink r:id="rId5">
              <w:r>
                <w:rPr>
                  <w:rFonts w:eastAsia="Poppins" w:cs="Arial" w:ascii="Arial" w:hAnsi="Arial"/>
                  <w:color w:val="212529"/>
                  <w:sz w:val="24"/>
                  <w:szCs w:val="24"/>
                  <w:lang w:val="eu-ES"/>
                </w:rPr>
                <w:t>6. 5. Arazoak konpontzea</w:t>
              </w:r>
            </w:hyperlink>
          </w:p>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r>
          </w:p>
        </w:tc>
        <w:tc>
          <w:tcPr>
            <w:tcW w:w="365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Autodiagnosi digitala sortzea.</w:t>
            </w:r>
          </w:p>
        </w:tc>
        <w:tc>
          <w:tcPr>
            <w:tcW w:w="1529"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Garapen eta bukaera fasean.</w:t>
            </w:r>
          </w:p>
        </w:tc>
        <w:tc>
          <w:tcPr>
            <w:tcW w:w="5017" w:type="dxa"/>
            <w:tcBorders/>
          </w:tcPr>
          <w:p>
            <w:pPr>
              <w:pStyle w:val="Normal"/>
              <w:widowControl w:val="false"/>
              <w:spacing w:lineRule="auto" w:line="240" w:before="0" w:after="0"/>
              <w:rPr>
                <w:rFonts w:ascii="Arial" w:hAnsi="Arial" w:eastAsia="Poppins" w:cs="Arial"/>
                <w:color w:val="212529"/>
                <w:sz w:val="24"/>
                <w:szCs w:val="24"/>
                <w:lang w:val="eu-ES"/>
              </w:rPr>
            </w:pPr>
            <w:r>
              <w:rPr>
                <w:rFonts w:eastAsia="Poppins" w:cs="Arial" w:ascii="Arial" w:hAnsi="Arial"/>
                <w:color w:val="212529"/>
                <w:sz w:val="24"/>
                <w:szCs w:val="24"/>
                <w:lang w:val="eu-ES"/>
              </w:rPr>
              <w:t>Aurkezpen digitalak egitean sortu zaizkien zalantza digitalak aztertzeko dokumentu bat sortuko dugu. Talde txiki eta handietan hausnarketa egitea beharrezkoa izango da, konponbideak aurkitzeko. Pixkanaka autonomia hartzen joatea beharrezkoa eta garrantzitsua izango da.</w:t>
            </w:r>
          </w:p>
        </w:tc>
      </w:tr>
    </w:tbl>
    <w:p>
      <w:pPr>
        <w:pStyle w:val="Normal"/>
        <w:spacing w:before="0" w:after="0"/>
        <w:rPr>
          <w:rFonts w:ascii="Arial" w:hAnsi="Arial" w:eastAsia="Poppins" w:cs="Arial"/>
          <w:color w:val="212529"/>
          <w:sz w:val="24"/>
          <w:szCs w:val="24"/>
          <w:lang w:val="eu-ES"/>
        </w:rPr>
      </w:pPr>
      <w:r>
        <w:rPr/>
      </w:r>
    </w:p>
    <w:sectPr>
      <w:type w:val="nextPage"/>
      <w:pgSz w:orient="landscape" w:w="16838" w:h="11906"/>
      <w:pgMar w:left="1440" w:right="1440" w:gutter="0" w:header="0" w:top="709" w:footer="0" w:bottom="113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esteka">
    <w:name w:val="Internet esteka"/>
    <w:rPr>
      <w:color w:val="000080"/>
      <w:u w:val="single"/>
      <w:lang w:val="zxx" w:eastAsia="zxx" w:bidi="zxx"/>
    </w:rPr>
  </w:style>
  <w:style w:type="paragraph" w:styleId="Izenburua">
    <w:name w:val="Izenburua"/>
    <w:basedOn w:val="Normal"/>
    <w:next w:val="Testugorputza"/>
    <w:qFormat/>
    <w:pPr>
      <w:keepNext w:val="true"/>
      <w:spacing w:before="240" w:after="120"/>
    </w:pPr>
    <w:rPr>
      <w:rFonts w:ascii="Liberation Sans" w:hAnsi="Liberation Sans" w:eastAsia="Noto Sans CJK SC" w:cs="Lohit Devanagari"/>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Lohit Devanagari"/>
    </w:rPr>
  </w:style>
  <w:style w:type="paragraph" w:styleId="Epigrafea">
    <w:name w:val="Caption"/>
    <w:basedOn w:val="Normal"/>
    <w:qFormat/>
    <w:pPr>
      <w:suppressLineNumbers/>
      <w:spacing w:before="120" w:after="120"/>
    </w:pPr>
    <w:rPr>
      <w:rFonts w:cs="Lohit Devanagari"/>
      <w:i/>
      <w:iCs/>
      <w:sz w:val="24"/>
      <w:szCs w:val="24"/>
    </w:rPr>
  </w:style>
  <w:style w:type="paragraph" w:styleId="Indizea">
    <w:name w:val="Indizea"/>
    <w:basedOn w:val="Normal"/>
    <w:qFormat/>
    <w:pPr>
      <w:suppressLineNumbers/>
    </w:pPr>
    <w:rPr>
      <w:rFonts w:cs="Lohit Devanagari"/>
    </w:rPr>
  </w:style>
  <w:style w:type="paragraph" w:styleId="NormalWeb">
    <w:name w:val="Normal (Web)"/>
    <w:basedOn w:val="Normal"/>
    <w:uiPriority w:val="99"/>
    <w:semiHidden/>
    <w:unhideWhenUsed/>
    <w:qFormat/>
    <w:rsid w:val="00ed3acd"/>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odlegune.hezkuntza.net/mod/url/view.php?id=2411&amp;redirect=1" TargetMode="External"/><Relationship Id="rId3" Type="http://schemas.openxmlformats.org/officeDocument/2006/relationships/hyperlink" Target="https://moodlegune.hezkuntza.net/mod/url/view.php?id=2414&amp;redirect=1" TargetMode="External"/><Relationship Id="rId4" Type="http://schemas.openxmlformats.org/officeDocument/2006/relationships/hyperlink" Target="https://moodlegune.hezkuntza.net/mod/url/view.php?id=2415&amp;redirect=1" TargetMode="External"/><Relationship Id="rId5" Type="http://schemas.openxmlformats.org/officeDocument/2006/relationships/hyperlink" Target="https://moodlegune.hezkuntza.net/mod/url/view.php?id=2416&amp;redirect=1"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LibreOffice/7.3.5.2$Linux_X86_64 LibreOffice_project/30$Build-2</Application>
  <AppVersion>15.0000</AppVersion>
  <DocSecurity>0</DocSecurity>
  <Pages>1</Pages>
  <Words>232</Words>
  <Characters>1620</Characters>
  <CharactersWithSpaces>1875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2022-06-26T14:31:00Z</dcterms:created>
  <dc:creator>Arrate Ugalde Izaguirre</dc:creator>
  <dc:description/>
  <dc:language>eu-ES</dc:language>
  <cp:lastModifiedBy/>
  <dcterms:modified xsi:type="dcterms:W3CDTF">2022-09-14T12:59:09Z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