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eastAsia="Poppins" w:cs="Arial"/>
          <w:color w:val="212529"/>
          <w:sz w:val="32"/>
          <w:szCs w:val="24"/>
          <w:lang w:val="eu-ES"/>
        </w:rPr>
      </w:pPr>
      <w:r>
        <w:rPr>
          <w:rFonts w:eastAsia="Poppins" w:cs="Arial" w:ascii="Arial" w:hAnsi="Arial"/>
          <w:color w:val="212529"/>
          <w:sz w:val="32"/>
          <w:szCs w:val="24"/>
          <w:lang w:val="eu-ES"/>
        </w:rPr>
        <w:t>“</w:t>
      </w:r>
      <w:r>
        <w:rPr>
          <w:rFonts w:eastAsia="Poppins" w:cs="Arial" w:ascii="Arial" w:hAnsi="Arial"/>
          <w:color w:val="212529"/>
          <w:sz w:val="32"/>
          <w:szCs w:val="24"/>
          <w:lang w:val="eu-ES"/>
        </w:rPr>
        <w:t>Ikasleen konpetentzia digitala”ren Atazarako TAULA</w:t>
      </w:r>
    </w:p>
    <w:p>
      <w:pPr>
        <w:pStyle w:val="Normal"/>
        <w:rPr>
          <w:rFonts w:ascii="Arial" w:hAnsi="Arial" w:eastAsia="Poppins" w:cs="Arial"/>
          <w:color w:val="212529"/>
          <w:sz w:val="24"/>
          <w:szCs w:val="24"/>
          <w:lang w:val="eu-ES"/>
        </w:rPr>
      </w:pPr>
      <w:r>
        <w:rPr>
          <w:rFonts w:eastAsia="Poppins" w:cs="Arial" w:ascii="Arial" w:hAnsi="Arial"/>
          <w:color w:val="212529"/>
          <w:sz w:val="24"/>
          <w:szCs w:val="24"/>
          <w:lang w:val="eu-ES"/>
        </w:rPr>
        <w:t>Modulu honetan Ikusi dituzun bideo piluletan, DigCompEdu 6. arloko ikasleen konpetentzia digital bakoitzaren garapenerako, jarduera adibide praktiko batzuk aurkitu dituzu. Aukeratu horietako bat azpimultzo bakoitzeko eta koka ezazu bakoitza ikas-egoera baten faseren batean. Azal ezazu ere zergatik kokatzen duzun elementu bakoitza fase horretan. Hori egiten errazteko holako taula bat erabil dezakezu (nahi izanez gero).</w:t>
      </w:r>
    </w:p>
    <w:tbl>
      <w:tblPr>
        <w:tblStyle w:val="Tablaconcuadrcula"/>
        <w:tblW w:w="13462" w:type="dxa"/>
        <w:jc w:val="left"/>
        <w:tblInd w:w="0" w:type="dxa"/>
        <w:tblCellMar>
          <w:top w:w="0" w:type="dxa"/>
          <w:left w:w="108" w:type="dxa"/>
          <w:bottom w:w="0" w:type="dxa"/>
          <w:right w:w="108" w:type="dxa"/>
        </w:tblCellMar>
        <w:tblLook w:val="06a0" w:noHBand="1" w:noVBand="1" w:firstColumn="1" w:lastRow="0" w:lastColumn="0" w:firstRow="1"/>
      </w:tblPr>
      <w:tblGrid>
        <w:gridCol w:w="3256"/>
        <w:gridCol w:w="2875"/>
        <w:gridCol w:w="2313"/>
        <w:gridCol w:w="5017"/>
      </w:tblGrid>
      <w:tr>
        <w:trPr/>
        <w:tc>
          <w:tcPr>
            <w:tcW w:w="13461" w:type="dxa"/>
            <w:gridSpan w:val="4"/>
            <w:tcBorders/>
            <w:shd w:color="auto" w:fill="F2F2F2" w:themeFill="background1" w:themeFillShade="f2" w:val="clear"/>
          </w:tcPr>
          <w:p>
            <w:pPr>
              <w:pStyle w:val="Normal"/>
              <w:spacing w:lineRule="auto" w:line="240" w:before="0" w:after="0"/>
              <w:jc w:val="center"/>
              <w:rPr>
                <w:rFonts w:ascii="Arial" w:hAnsi="Arial" w:eastAsia="Poppins" w:cs="Arial"/>
                <w:color w:val="212529"/>
                <w:sz w:val="28"/>
                <w:szCs w:val="24"/>
                <w:lang w:val="eu-ES"/>
              </w:rPr>
            </w:pPr>
            <w:r>
              <w:rPr>
                <w:rFonts w:eastAsia="Poppins" w:cs="Arial" w:ascii="Arial" w:hAnsi="Arial"/>
                <w:color w:val="212529"/>
                <w:sz w:val="28"/>
                <w:szCs w:val="24"/>
                <w:lang w:val="eu-ES"/>
              </w:rPr>
              <w:t>“</w:t>
            </w:r>
            <w:r>
              <w:rPr>
                <w:rFonts w:eastAsia="Poppins" w:cs="Arial" w:ascii="Arial" w:hAnsi="Arial"/>
                <w:color w:val="212529"/>
                <w:sz w:val="28"/>
                <w:szCs w:val="24"/>
                <w:lang w:val="eu-ES"/>
              </w:rPr>
              <w:t>Ikasleen konpetentzia digitala”ren Atazarako TAULA</w:t>
            </w:r>
          </w:p>
          <w:p>
            <w:pPr>
              <w:pStyle w:val="Normal"/>
              <w:spacing w:lineRule="auto" w:line="240" w:before="0" w:after="0"/>
              <w:rPr>
                <w:rFonts w:ascii="Arial" w:hAnsi="Arial" w:eastAsia="Poppins" w:cs="Arial"/>
                <w:b/>
                <w:b/>
                <w:color w:val="212529"/>
                <w:sz w:val="24"/>
                <w:szCs w:val="24"/>
                <w:lang w:val="eu-ES"/>
              </w:rPr>
            </w:pPr>
            <w:r>
              <w:rPr>
                <w:rFonts w:eastAsia="Poppins" w:cs="Arial" w:ascii="Arial" w:hAnsi="Arial"/>
                <w:b/>
                <w:color w:val="212529"/>
                <w:sz w:val="24"/>
                <w:szCs w:val="24"/>
                <w:lang w:val="eu-ES"/>
              </w:rPr>
              <w:t xml:space="preserve">· Izen-Abizenak:     </w:t>
            </w:r>
            <w:r>
              <w:rPr>
                <w:rFonts w:eastAsia="Poppins" w:cs="Arial" w:ascii="Arial" w:hAnsi="Arial"/>
                <w:b/>
                <w:color w:val="212529"/>
                <w:sz w:val="24"/>
                <w:szCs w:val="24"/>
                <w:lang w:val="eu-ES"/>
              </w:rPr>
              <w:t>Zaloa Lopez de Munain Igeregi</w:t>
            </w:r>
            <w:r>
              <w:rPr>
                <w:rFonts w:eastAsia="Poppins" w:cs="Arial" w:ascii="Arial" w:hAnsi="Arial"/>
                <w:b/>
                <w:color w:val="212529"/>
                <w:sz w:val="24"/>
                <w:szCs w:val="24"/>
                <w:lang w:val="eu-ES"/>
              </w:rPr>
              <w:t xml:space="preserve">                                              </w:t>
            </w:r>
          </w:p>
          <w:p>
            <w:pPr>
              <w:pStyle w:val="Normal"/>
              <w:spacing w:lineRule="auto" w:line="240" w:before="0" w:after="0"/>
              <w:rPr>
                <w:rFonts w:ascii="Arial" w:hAnsi="Arial" w:eastAsia="Poppins" w:cs="Arial"/>
                <w:b/>
                <w:b/>
                <w:color w:val="212529"/>
                <w:sz w:val="24"/>
                <w:szCs w:val="24"/>
                <w:lang w:val="eu-ES"/>
              </w:rPr>
            </w:pPr>
            <w:r>
              <w:rPr>
                <w:rFonts w:eastAsia="Poppins" w:cs="Arial" w:ascii="Arial" w:hAnsi="Arial"/>
                <w:b/>
                <w:color w:val="212529"/>
                <w:sz w:val="24"/>
                <w:szCs w:val="24"/>
                <w:lang w:val="eu-ES"/>
              </w:rPr>
              <w:t xml:space="preserve">· Ikastetxea:            </w:t>
            </w:r>
            <w:r>
              <w:rPr>
                <w:rFonts w:eastAsia="Poppins" w:cs="Arial" w:ascii="Arial" w:hAnsi="Arial"/>
                <w:b/>
                <w:color w:val="212529"/>
                <w:sz w:val="24"/>
                <w:szCs w:val="24"/>
                <w:lang w:val="eu-ES"/>
              </w:rPr>
              <w:t xml:space="preserve">IES HIRUBIDE </w:t>
            </w:r>
          </w:p>
          <w:p>
            <w:pPr>
              <w:pStyle w:val="Normal"/>
              <w:spacing w:lineRule="auto" w:line="240" w:before="0" w:after="0"/>
              <w:rPr>
                <w:rFonts w:ascii="Arial" w:hAnsi="Arial" w:eastAsia="Poppins" w:cs="Arial"/>
                <w:b/>
                <w:b/>
                <w:color w:val="212529"/>
                <w:sz w:val="28"/>
                <w:szCs w:val="24"/>
                <w:lang w:val="eu-ES"/>
              </w:rPr>
            </w:pPr>
            <w:r>
              <w:rPr>
                <w:rFonts w:eastAsia="Poppins" w:cs="Arial" w:ascii="Arial" w:hAnsi="Arial"/>
                <w:b/>
                <w:color w:val="212529"/>
                <w:sz w:val="28"/>
                <w:szCs w:val="24"/>
                <w:lang w:val="eu-ES"/>
              </w:rPr>
            </w:r>
          </w:p>
        </w:tc>
      </w:tr>
      <w:tr>
        <w:trPr/>
        <w:tc>
          <w:tcPr>
            <w:tcW w:w="3256" w:type="dxa"/>
            <w:tcBorders/>
            <w:shd w:color="auto" w:fill="E2EFD9" w:themeFill="accent6" w:themeFillTint="33" w:val="clear"/>
          </w:tcPr>
          <w:p>
            <w:pPr>
              <w:pStyle w:val="Normal"/>
              <w:spacing w:lineRule="auto" w:line="240" w:before="0" w:after="0"/>
              <w:jc w:val="center"/>
              <w:rPr>
                <w:rFonts w:ascii="Arial" w:hAnsi="Arial" w:eastAsia="Poppins" w:cs="Arial"/>
                <w:color w:val="212529"/>
                <w:sz w:val="24"/>
                <w:szCs w:val="24"/>
                <w:lang w:val="eu-ES"/>
              </w:rPr>
            </w:pPr>
            <w:r>
              <w:rPr>
                <w:rFonts w:eastAsia="Poppins" w:cs="Arial" w:ascii="Arial" w:hAnsi="Arial"/>
                <w:color w:val="212529"/>
                <w:sz w:val="24"/>
                <w:szCs w:val="24"/>
                <w:lang w:val="eu-ES"/>
              </w:rPr>
              <w:t xml:space="preserve">6. </w:t>
            </w:r>
            <w:r>
              <w:rPr>
                <w:rFonts w:eastAsia="Poppins" w:cs="Arial" w:ascii="Arial" w:hAnsi="Arial"/>
                <w:b/>
                <w:color w:val="212529"/>
                <w:sz w:val="24"/>
                <w:szCs w:val="24"/>
                <w:lang w:val="eu-ES"/>
              </w:rPr>
              <w:t>Ikasleen konpetentzia digitala</w:t>
            </w:r>
          </w:p>
        </w:tc>
        <w:tc>
          <w:tcPr>
            <w:tcW w:w="2875" w:type="dxa"/>
            <w:tcBorders/>
            <w:shd w:color="auto" w:fill="E2EFD9" w:themeFill="accent6" w:themeFillTint="33" w:val="clear"/>
          </w:tcPr>
          <w:p>
            <w:pPr>
              <w:pStyle w:val="Normal"/>
              <w:spacing w:lineRule="auto" w:line="240" w:before="0" w:after="0"/>
              <w:jc w:val="center"/>
              <w:rPr>
                <w:rFonts w:ascii="Arial" w:hAnsi="Arial" w:eastAsia="Poppins" w:cs="Arial"/>
                <w:b/>
                <w:b/>
                <w:color w:val="212529"/>
                <w:sz w:val="24"/>
                <w:szCs w:val="24"/>
                <w:lang w:val="eu-ES"/>
              </w:rPr>
            </w:pPr>
            <w:r>
              <w:rPr>
                <w:rFonts w:eastAsia="Poppins" w:cs="Arial" w:ascii="Arial" w:hAnsi="Arial"/>
                <w:b/>
                <w:color w:val="212529"/>
                <w:sz w:val="28"/>
                <w:szCs w:val="24"/>
                <w:lang w:val="eu-ES"/>
              </w:rPr>
              <w:t>Jarduera</w:t>
            </w:r>
          </w:p>
        </w:tc>
        <w:tc>
          <w:tcPr>
            <w:tcW w:w="2313" w:type="dxa"/>
            <w:tcBorders/>
            <w:shd w:color="auto" w:fill="E2EFD9" w:themeFill="accent6" w:themeFillTint="33" w:val="clear"/>
          </w:tcPr>
          <w:p>
            <w:pPr>
              <w:pStyle w:val="Normal"/>
              <w:spacing w:lineRule="auto" w:line="240" w:before="0" w:after="0"/>
              <w:jc w:val="center"/>
              <w:rPr>
                <w:rFonts w:ascii="Arial" w:hAnsi="Arial" w:eastAsia="Poppins" w:cs="Arial"/>
                <w:b/>
                <w:b/>
                <w:color w:val="212529"/>
                <w:sz w:val="24"/>
                <w:szCs w:val="24"/>
                <w:lang w:val="eu-ES"/>
              </w:rPr>
            </w:pPr>
            <w:r>
              <w:rPr>
                <w:rFonts w:eastAsia="Poppins" w:cs="Arial" w:ascii="Arial" w:hAnsi="Arial"/>
                <w:b/>
                <w:color w:val="212529"/>
                <w:sz w:val="28"/>
                <w:szCs w:val="24"/>
                <w:lang w:val="eu-ES"/>
              </w:rPr>
              <w:t>Fasea</w:t>
            </w:r>
          </w:p>
        </w:tc>
        <w:tc>
          <w:tcPr>
            <w:tcW w:w="5017" w:type="dxa"/>
            <w:tcBorders/>
            <w:shd w:color="auto" w:fill="E2EFD9" w:themeFill="accent6" w:themeFillTint="33" w:val="clear"/>
          </w:tcPr>
          <w:p>
            <w:pPr>
              <w:pStyle w:val="Normal"/>
              <w:spacing w:lineRule="auto" w:line="240" w:before="0" w:after="0"/>
              <w:jc w:val="center"/>
              <w:rPr>
                <w:rFonts w:ascii="Arial" w:hAnsi="Arial" w:eastAsia="Poppins" w:cs="Arial"/>
                <w:b/>
                <w:b/>
                <w:color w:val="212529"/>
                <w:sz w:val="28"/>
                <w:szCs w:val="24"/>
                <w:lang w:val="eu-ES"/>
              </w:rPr>
            </w:pPr>
            <w:r>
              <w:rPr>
                <w:rFonts w:eastAsia="Poppins" w:cs="Arial" w:ascii="Arial" w:hAnsi="Arial"/>
                <w:b/>
                <w:color w:val="212529"/>
                <w:sz w:val="28"/>
                <w:szCs w:val="24"/>
                <w:lang w:val="eu-ES"/>
              </w:rPr>
              <w:t>Justifikazioa</w:t>
            </w:r>
          </w:p>
          <w:p>
            <w:pPr>
              <w:pStyle w:val="Normal"/>
              <w:spacing w:lineRule="auto" w:line="240" w:before="0" w:after="0"/>
              <w:jc w:val="center"/>
              <w:rPr>
                <w:rFonts w:ascii="Arial" w:hAnsi="Arial" w:eastAsia="Poppins" w:cs="Arial"/>
                <w:color w:val="212529"/>
                <w:sz w:val="24"/>
                <w:szCs w:val="24"/>
                <w:lang w:val="eu-ES"/>
              </w:rPr>
            </w:pPr>
            <w:r>
              <w:rPr>
                <w:rFonts w:eastAsia="Poppins" w:cs="Arial" w:ascii="Arial" w:hAnsi="Arial"/>
                <w:color w:val="212529"/>
                <w:sz w:val="24"/>
                <w:szCs w:val="24"/>
                <w:lang w:val="eu-ES"/>
              </w:rPr>
              <w:t>(asko jota,</w:t>
            </w:r>
            <w:bookmarkStart w:id="0" w:name="_GoBack"/>
            <w:bookmarkEnd w:id="0"/>
            <w:r>
              <w:rPr>
                <w:rFonts w:eastAsia="Poppins" w:cs="Arial" w:ascii="Arial" w:hAnsi="Arial"/>
                <w:color w:val="212529"/>
                <w:sz w:val="24"/>
                <w:szCs w:val="24"/>
                <w:lang w:val="eu-ES"/>
              </w:rPr>
              <w:t xml:space="preserve"> 3 lerrotan)</w:t>
            </w:r>
          </w:p>
        </w:tc>
      </w:tr>
      <w:tr>
        <w:trPr/>
        <w:tc>
          <w:tcPr>
            <w:tcW w:w="3256" w:type="dxa"/>
            <w:tcBorders/>
          </w:tcPr>
          <w:p>
            <w:pPr>
              <w:pStyle w:val="Normal"/>
              <w:spacing w:lineRule="auto" w:line="259" w:before="0" w:after="0"/>
              <w:rPr>
                <w:rFonts w:ascii="Arial" w:hAnsi="Arial" w:eastAsia="Poppins" w:cs="Arial"/>
                <w:color w:val="212529"/>
                <w:sz w:val="24"/>
                <w:szCs w:val="24"/>
                <w:lang w:val="eu-ES"/>
              </w:rPr>
            </w:pPr>
            <w:hyperlink r:id="rId2">
              <w:r>
                <w:rPr>
                  <w:rFonts w:eastAsia="Poppins" w:cs="Arial" w:ascii="Arial" w:hAnsi="Arial"/>
                  <w:color w:val="212529"/>
                  <w:sz w:val="24"/>
                  <w:szCs w:val="24"/>
                  <w:lang w:val="eu-ES"/>
                </w:rPr>
                <w:t>6. 1. Alfabetatze mediatikoa eta alfabetatzea informazioaren eta datuen tratamenduan</w:t>
              </w:r>
            </w:hyperlink>
          </w:p>
          <w:p>
            <w:pPr>
              <w:pStyle w:val="Normal"/>
              <w:spacing w:lineRule="auto" w:line="259"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tc>
        <w:tc>
          <w:tcPr>
            <w:tcW w:w="2875"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Fake News webgune zerrenda osatzea. </w:t>
            </w:r>
          </w:p>
        </w:tc>
        <w:tc>
          <w:tcPr>
            <w:tcW w:w="2313"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b/>
                <w:bCs/>
                <w:color w:val="212529"/>
                <w:sz w:val="24"/>
                <w:szCs w:val="24"/>
                <w:lang w:val="eu-ES"/>
              </w:rPr>
              <w:t>Hasierako fasea.</w:t>
            </w:r>
            <w:r>
              <w:rPr>
                <w:rFonts w:eastAsia="Poppins" w:cs="Arial" w:ascii="Arial" w:hAnsi="Arial"/>
                <w:color w:val="212529"/>
                <w:sz w:val="24"/>
                <w:szCs w:val="24"/>
                <w:lang w:val="eu-ES"/>
              </w:rPr>
              <w:t xml:space="preserve"> </w:t>
            </w:r>
            <w:r>
              <w:rPr>
                <w:rFonts w:eastAsia="Poppins" w:cs="Arial" w:ascii="Arial" w:hAnsi="Arial"/>
                <w:color w:val="212529"/>
                <w:sz w:val="24"/>
                <w:szCs w:val="24"/>
                <w:lang w:val="eu-ES"/>
              </w:rPr>
              <w:t>Ikasleei l</w:t>
            </w:r>
            <w:r>
              <w:rPr>
                <w:rFonts w:eastAsia="Poppins" w:cs="Arial" w:ascii="Arial" w:hAnsi="Arial"/>
                <w:color w:val="212529"/>
                <w:sz w:val="24"/>
                <w:szCs w:val="24"/>
                <w:lang w:val="eu-ES"/>
              </w:rPr>
              <w:t>ehenengoz eskatuko zaie</w:t>
            </w:r>
            <w:r>
              <w:rPr>
                <w:rFonts w:eastAsia="Poppins" w:cs="Arial" w:ascii="Arial" w:hAnsi="Arial"/>
                <w:color w:val="212529"/>
                <w:sz w:val="24"/>
                <w:szCs w:val="24"/>
                <w:lang w:val="eu-ES"/>
              </w:rPr>
              <w:t>n zerbait da.</w:t>
            </w:r>
            <w:r>
              <w:rPr>
                <w:rFonts w:eastAsia="Poppins" w:cs="Arial" w:ascii="Arial" w:hAnsi="Arial"/>
                <w:color w:val="212529"/>
                <w:sz w:val="24"/>
                <w:szCs w:val="24"/>
                <w:lang w:val="eu-ES"/>
              </w:rPr>
              <w:t xml:space="preserve"> Ondo funtzionatuz gero, gerora, </w:t>
            </w:r>
            <w:r>
              <w:rPr>
                <w:rFonts w:eastAsia="Poppins" w:cs="Arial" w:ascii="Arial" w:hAnsi="Arial"/>
                <w:b/>
                <w:bCs/>
                <w:color w:val="212529"/>
                <w:sz w:val="24"/>
                <w:szCs w:val="24"/>
                <w:lang w:val="eu-ES"/>
              </w:rPr>
              <w:t xml:space="preserve">garapen fasean </w:t>
            </w:r>
            <w:r>
              <w:rPr>
                <w:rFonts w:eastAsia="Poppins" w:cs="Arial" w:ascii="Arial" w:hAnsi="Arial"/>
                <w:color w:val="212529"/>
                <w:sz w:val="24"/>
                <w:szCs w:val="24"/>
                <w:lang w:val="eu-ES"/>
              </w:rPr>
              <w:t xml:space="preserve">sar gaitezke. </w:t>
            </w:r>
          </w:p>
        </w:tc>
        <w:tc>
          <w:tcPr>
            <w:tcW w:w="5017"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Ikasleek askotan ez dute jaki</w:t>
            </w:r>
            <w:r>
              <w:rPr>
                <w:rFonts w:eastAsia="Poppins" w:cs="Arial" w:ascii="Arial" w:hAnsi="Arial"/>
                <w:color w:val="212529"/>
                <w:sz w:val="24"/>
                <w:szCs w:val="24"/>
                <w:lang w:val="eu-ES"/>
              </w:rPr>
              <w:t>te</w:t>
            </w:r>
            <w:r>
              <w:rPr>
                <w:rFonts w:eastAsia="Poppins" w:cs="Arial" w:ascii="Arial" w:hAnsi="Arial"/>
                <w:color w:val="212529"/>
                <w:sz w:val="24"/>
                <w:szCs w:val="24"/>
                <w:lang w:val="eu-ES"/>
              </w:rPr>
              <w:t xml:space="preserve">n non eta zer begiratu behar duten, </w:t>
            </w:r>
            <w:r>
              <w:rPr>
                <w:rFonts w:eastAsia="Poppins" w:cs="Arial" w:ascii="Arial" w:hAnsi="Arial"/>
                <w:color w:val="212529"/>
                <w:sz w:val="24"/>
                <w:szCs w:val="24"/>
                <w:lang w:val="eu-ES"/>
              </w:rPr>
              <w:t xml:space="preserve">fidagarria den </w:t>
            </w:r>
            <w:r>
              <w:rPr>
                <w:rFonts w:eastAsia="Poppins" w:cs="Arial" w:ascii="Arial" w:hAnsi="Arial"/>
                <w:color w:val="212529"/>
                <w:sz w:val="24"/>
                <w:szCs w:val="24"/>
                <w:lang w:val="eu-ES"/>
              </w:rPr>
              <w:t xml:space="preserve">eta irakurtzen dutena benetakoa den. </w:t>
            </w:r>
          </w:p>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Webgune batzuetako helbideak erraztu eta benetakoak diren ala ez identifikatzea. </w:t>
            </w:r>
          </w:p>
        </w:tc>
      </w:tr>
      <w:tr>
        <w:trPr/>
        <w:tc>
          <w:tcPr>
            <w:tcW w:w="3256"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6.2. Komunikazioa, lankidetza eta herritartasun digitala</w:t>
            </w:r>
          </w:p>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tc>
        <w:tc>
          <w:tcPr>
            <w:tcW w:w="2875"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Prezi aurkezpenak zer diren eta zertarako baliatu daitezkeen. </w:t>
            </w:r>
          </w:p>
        </w:tc>
        <w:tc>
          <w:tcPr>
            <w:tcW w:w="2313"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Hasierako fasea. </w:t>
            </w:r>
          </w:p>
        </w:tc>
        <w:tc>
          <w:tcPr>
            <w:tcW w:w="5017"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Ikasleek nahiz eta orain arte Drive bitartez egin dituzten PPTak, Prezik, elkarlana eta horretarako sortua den baliabidea izanik, horretan pixkat murgilduko ditugu. </w:t>
            </w:r>
          </w:p>
        </w:tc>
      </w:tr>
      <w:tr>
        <w:trPr/>
        <w:tc>
          <w:tcPr>
            <w:tcW w:w="3256" w:type="dxa"/>
            <w:tcBorders/>
          </w:tcPr>
          <w:p>
            <w:pPr>
              <w:pStyle w:val="Normal"/>
              <w:spacing w:lineRule="auto" w:line="240" w:before="0" w:after="0"/>
              <w:rPr>
                <w:rFonts w:ascii="Arial" w:hAnsi="Arial" w:eastAsia="Poppins" w:cs="Arial"/>
                <w:color w:val="212529"/>
                <w:sz w:val="24"/>
                <w:szCs w:val="24"/>
                <w:lang w:val="eu-ES"/>
              </w:rPr>
            </w:pPr>
            <w:hyperlink r:id="rId3">
              <w:r>
                <w:rPr>
                  <w:rFonts w:eastAsia="Poppins" w:cs="Arial" w:ascii="Arial" w:hAnsi="Arial"/>
                  <w:color w:val="212529"/>
                  <w:sz w:val="24"/>
                  <w:szCs w:val="24"/>
                  <w:lang w:val="eu-ES"/>
                </w:rPr>
                <w:t>6. 3. Eduki digitalak sortzea</w:t>
              </w:r>
            </w:hyperlink>
          </w:p>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tc>
        <w:tc>
          <w:tcPr>
            <w:tcW w:w="2875"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Dokumentu kolaboratiboak zeintzuk diren jakitea eta </w:t>
            </w:r>
            <w:r>
              <w:rPr>
                <w:rFonts w:eastAsia="Poppins" w:cs="Arial" w:ascii="Arial" w:hAnsi="Arial"/>
                <w:color w:val="212529"/>
                <w:sz w:val="24"/>
                <w:szCs w:val="24"/>
                <w:lang w:val="eu-ES"/>
              </w:rPr>
              <w:t>erabiltzen hastea</w:t>
            </w:r>
          </w:p>
        </w:tc>
        <w:tc>
          <w:tcPr>
            <w:tcW w:w="2313"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Hasierako fasea</w:t>
            </w:r>
          </w:p>
        </w:tc>
        <w:tc>
          <w:tcPr>
            <w:tcW w:w="5017"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Hasierako egunetan digitalizazioaz hitz egiten aritu ginen eta ezer gutxi dakite DBH 1eko ikasle hauek. Gerora, garapen fasera igaroko gara. </w:t>
            </w:r>
          </w:p>
        </w:tc>
      </w:tr>
      <w:tr>
        <w:trPr/>
        <w:tc>
          <w:tcPr>
            <w:tcW w:w="3256" w:type="dxa"/>
            <w:tcBorders/>
          </w:tcPr>
          <w:p>
            <w:pPr>
              <w:pStyle w:val="Normal"/>
              <w:spacing w:lineRule="auto" w:line="259" w:before="0" w:after="0"/>
              <w:rPr>
                <w:rFonts w:ascii="Arial" w:hAnsi="Arial" w:eastAsia="Poppins" w:cs="Arial"/>
                <w:color w:val="212529"/>
                <w:sz w:val="24"/>
                <w:szCs w:val="24"/>
                <w:lang w:val="eu-ES"/>
              </w:rPr>
            </w:pPr>
            <w:hyperlink r:id="rId4">
              <w:r>
                <w:rPr>
                  <w:rFonts w:eastAsia="Poppins" w:cs="Arial" w:ascii="Arial" w:hAnsi="Arial"/>
                  <w:color w:val="212529"/>
                  <w:sz w:val="24"/>
                  <w:szCs w:val="24"/>
                  <w:lang w:val="eu-ES"/>
                </w:rPr>
                <w:t>6. 4. Erabilera arduratsua eta ongizate digitala</w:t>
              </w:r>
            </w:hyperlink>
          </w:p>
          <w:p>
            <w:pPr>
              <w:pStyle w:val="Normal"/>
              <w:spacing w:lineRule="auto" w:line="259"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tc>
        <w:tc>
          <w:tcPr>
            <w:tcW w:w="2875"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Denetan. </w:t>
            </w:r>
          </w:p>
        </w:tc>
        <w:tc>
          <w:tcPr>
            <w:tcW w:w="2313"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Hasierako fasean batez ere. </w:t>
            </w:r>
          </w:p>
        </w:tc>
        <w:tc>
          <w:tcPr>
            <w:tcW w:w="5017"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Oso ikasle aurreratuak ditugula ematen du mundu digitalari dagokionez, eta ez da horrela. Orain, ikasle bakoitzak bere ordenagailu propioa dauka eta horrek gauza batzuk errazten ditu, baina kontuak zabalik, edozein web orritako cookie denak onartu, edozein orritan izen-ematea, ...</w:t>
            </w:r>
          </w:p>
        </w:tc>
      </w:tr>
      <w:tr>
        <w:trPr/>
        <w:tc>
          <w:tcPr>
            <w:tcW w:w="3256" w:type="dxa"/>
            <w:tcBorders/>
          </w:tcPr>
          <w:p>
            <w:pPr>
              <w:pStyle w:val="Normal"/>
              <w:spacing w:lineRule="auto" w:line="240" w:before="0" w:after="0"/>
              <w:rPr>
                <w:rFonts w:ascii="Arial" w:hAnsi="Arial" w:eastAsia="Poppins" w:cs="Arial"/>
                <w:color w:val="212529"/>
                <w:sz w:val="24"/>
                <w:szCs w:val="24"/>
                <w:lang w:val="eu-ES"/>
              </w:rPr>
            </w:pPr>
            <w:hyperlink r:id="rId5">
              <w:r>
                <w:rPr>
                  <w:rFonts w:eastAsia="Poppins" w:cs="Arial" w:ascii="Arial" w:hAnsi="Arial"/>
                  <w:color w:val="212529"/>
                  <w:sz w:val="24"/>
                  <w:szCs w:val="24"/>
                  <w:lang w:val="eu-ES"/>
                </w:rPr>
                <w:t>6. 5. Arazoak konpontzea</w:t>
              </w:r>
            </w:hyperlink>
          </w:p>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tc>
        <w:tc>
          <w:tcPr>
            <w:tcW w:w="2875"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Denetan</w:t>
            </w:r>
          </w:p>
        </w:tc>
        <w:tc>
          <w:tcPr>
            <w:tcW w:w="2313"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Garapen fasea</w:t>
            </w:r>
          </w:p>
        </w:tc>
        <w:tc>
          <w:tcPr>
            <w:tcW w:w="5017" w:type="dxa"/>
            <w:tcBorders/>
          </w:tcPr>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Prezia </w:t>
            </w:r>
            <w:r>
              <w:rPr>
                <w:rFonts w:eastAsia="Poppins" w:cs="Arial" w:ascii="Arial" w:hAnsi="Arial"/>
                <w:color w:val="212529"/>
                <w:sz w:val="24"/>
                <w:szCs w:val="24"/>
                <w:lang w:val="eu-ES"/>
              </w:rPr>
              <w:t>sortzen eta lantzen aritu diren bitartean, sortutako</w:t>
            </w:r>
            <w:r>
              <w:rPr>
                <w:rFonts w:eastAsia="Poppins" w:cs="Arial" w:ascii="Arial" w:hAnsi="Arial"/>
                <w:color w:val="212529"/>
                <w:sz w:val="24"/>
                <w:szCs w:val="24"/>
                <w:lang w:val="eu-ES"/>
              </w:rPr>
              <w:t xml:space="preserve"> zalantza digitalen dokumentu kolaboratibo bat sortzea.</w:t>
            </w:r>
          </w:p>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Modu honetara</w:t>
            </w:r>
            <w:r>
              <w:rPr>
                <w:rFonts w:eastAsia="Poppins" w:cs="Arial" w:ascii="Arial" w:hAnsi="Arial"/>
                <w:color w:val="212529"/>
                <w:sz w:val="24"/>
                <w:szCs w:val="24"/>
                <w:lang w:val="eu-ES"/>
              </w:rPr>
              <w:t>, taula batean,</w:t>
            </w:r>
          </w:p>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izandako arazoa eta emandako soluzioa jarriko lituzke ikasle bakoitzak. </w:t>
            </w:r>
            <w:r>
              <w:rPr>
                <w:rFonts w:eastAsia="Poppins" w:cs="Arial" w:ascii="Arial" w:hAnsi="Arial"/>
                <w:color w:val="212529"/>
                <w:sz w:val="24"/>
                <w:szCs w:val="24"/>
                <w:lang w:val="eu-ES"/>
              </w:rPr>
              <w:t>Ondorioz,</w:t>
            </w:r>
            <w:r>
              <w:rPr>
                <w:rFonts w:eastAsia="Poppins" w:cs="Arial" w:ascii="Arial" w:hAnsi="Arial"/>
                <w:color w:val="212529"/>
                <w:sz w:val="24"/>
                <w:szCs w:val="24"/>
                <w:lang w:val="eu-ES"/>
              </w:rPr>
              <w:t xml:space="preserve"> arazoren bat duen ikasleak, taula horretara jo ahalko du beste ikasleren batek izandako</w:t>
            </w:r>
          </w:p>
          <w:p>
            <w:pPr>
              <w:pStyle w:val="Normal"/>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arazo berbera badu, </w:t>
            </w:r>
            <w:r>
              <w:rPr>
                <w:rFonts w:eastAsia="Poppins" w:cs="Arial" w:ascii="Arial" w:hAnsi="Arial"/>
                <w:color w:val="212529"/>
                <w:sz w:val="24"/>
                <w:szCs w:val="24"/>
                <w:lang w:val="eu-ES"/>
              </w:rPr>
              <w:t>konponbidea</w:t>
            </w:r>
            <w:r>
              <w:rPr>
                <w:rFonts w:eastAsia="Poppins" w:cs="Arial" w:ascii="Arial" w:hAnsi="Arial"/>
                <w:color w:val="212529"/>
                <w:sz w:val="24"/>
                <w:szCs w:val="24"/>
                <w:lang w:val="eu-ES"/>
              </w:rPr>
              <w:t xml:space="preserve"> bertan izango duelako.</w:t>
            </w:r>
          </w:p>
        </w:tc>
      </w:tr>
    </w:tbl>
    <w:p>
      <w:pPr>
        <w:pStyle w:val="Normal"/>
        <w:spacing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 </w:t>
      </w:r>
    </w:p>
    <w:p>
      <w:pPr>
        <w:pStyle w:val="Normal"/>
        <w:spacing w:before="0" w:after="0"/>
        <w:rPr>
          <w:rFonts w:ascii="Arial" w:hAnsi="Arial" w:eastAsia="Poppins" w:cs="Arial"/>
          <w:color w:val="212529"/>
          <w:sz w:val="24"/>
          <w:szCs w:val="24"/>
          <w:lang w:val="eu-ES"/>
        </w:rPr>
      </w:pPr>
      <w:r>
        <w:rPr>
          <w:rFonts w:eastAsia="Poppins" w:cs="Arial" w:ascii="Arial" w:hAnsi="Arial"/>
          <w:color w:val="212529"/>
          <w:sz w:val="24"/>
          <w:szCs w:val="24"/>
          <w:lang w:val="eu-ES"/>
        </w:rPr>
        <w:t xml:space="preserve">       </w:t>
      </w:r>
      <w:r>
        <w:rPr>
          <w:rFonts w:eastAsia="Poppins" w:cs="Arial" w:ascii="Arial" w:hAnsi="Arial"/>
          <w:color w:val="212529"/>
          <w:sz w:val="24"/>
          <w:szCs w:val="24"/>
          <w:lang w:val="eu-ES"/>
        </w:rPr>
        <w:t>Ireki ezazu atal bat zure portfolio digitalean ataza honen berri emateko, eta bertan taula kokatu. Gune hori partekatuta jarri, edozeinek ikusteko moduan izan dadin.</w:t>
      </w:r>
    </w:p>
    <w:p>
      <w:pPr>
        <w:pStyle w:val="Normal"/>
        <w:spacing w:before="0" w:after="0"/>
        <w:rPr>
          <w:rFonts w:ascii="Arial" w:hAnsi="Arial" w:eastAsia="Poppins" w:cs="Arial"/>
          <w:color w:val="212529"/>
          <w:sz w:val="24"/>
          <w:szCs w:val="24"/>
          <w:lang w:val="eu-ES"/>
        </w:rPr>
      </w:pPr>
      <w:r>
        <w:rPr>
          <w:rFonts w:eastAsia="Poppins" w:cs="Arial" w:ascii="Arial" w:hAnsi="Arial"/>
          <w:color w:val="212529"/>
          <w:sz w:val="24"/>
          <w:szCs w:val="24"/>
          <w:lang w:val="eu-ES"/>
        </w:rPr>
        <w:t>Zure portfolio digitalaren weborri horren URLa kopiatu eta bidali behar duzu (bidali aurretik ziurtatu partekatuta dagoela edozein erabiltzailearentzat).</w:t>
      </w:r>
    </w:p>
    <w:sectPr>
      <w:type w:val="nextPage"/>
      <w:pgSz w:orient="landscape" w:w="16838" w:h="11906"/>
      <w:pgMar w:left="1440" w:right="1440" w:header="0" w:top="709" w:footer="0" w:bottom="113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esteka">
    <w:name w:val="Internet esteka"/>
    <w:rPr>
      <w:color w:val="000080"/>
      <w:u w:val="single"/>
      <w:lang w:val="zxx" w:eastAsia="zxx" w:bidi="zxx"/>
    </w:rPr>
  </w:style>
  <w:style w:type="paragraph" w:styleId="Izenburua">
    <w:name w:val="Izenburua"/>
    <w:basedOn w:val="Normal"/>
    <w:next w:val="Testugorputza"/>
    <w:qFormat/>
    <w:pPr>
      <w:keepNext w:val="true"/>
      <w:spacing w:before="240" w:after="120"/>
    </w:pPr>
    <w:rPr>
      <w:rFonts w:ascii="Liberation Sans" w:hAnsi="Liberation Sans" w:eastAsia="Noto Sans CJK SC" w:cs="Lohit Devanagari"/>
      <w:sz w:val="28"/>
      <w:szCs w:val="28"/>
    </w:rPr>
  </w:style>
  <w:style w:type="paragraph" w:styleId="Testugorputza">
    <w:name w:val="Body Text"/>
    <w:basedOn w:val="Normal"/>
    <w:pPr>
      <w:spacing w:lineRule="auto" w:line="276" w:before="0" w:after="140"/>
    </w:pPr>
    <w:rPr/>
  </w:style>
  <w:style w:type="paragraph" w:styleId="Zerrenda">
    <w:name w:val="List"/>
    <w:basedOn w:val="Testugorputza"/>
    <w:pPr/>
    <w:rPr>
      <w:rFonts w:cs="Lohit Devanagari"/>
    </w:rPr>
  </w:style>
  <w:style w:type="paragraph" w:styleId="Epigrafea">
    <w:name w:val="Caption"/>
    <w:basedOn w:val="Normal"/>
    <w:qFormat/>
    <w:pPr>
      <w:suppressLineNumbers/>
      <w:spacing w:before="120" w:after="120"/>
    </w:pPr>
    <w:rPr>
      <w:rFonts w:cs="Lohit Devanagari"/>
      <w:i/>
      <w:iCs/>
      <w:sz w:val="24"/>
      <w:szCs w:val="24"/>
    </w:rPr>
  </w:style>
  <w:style w:type="paragraph" w:styleId="Indizea">
    <w:name w:val="Indizea"/>
    <w:basedOn w:val="Normal"/>
    <w:qFormat/>
    <w:pPr>
      <w:suppressLineNumbers/>
    </w:pPr>
    <w:rPr>
      <w:rFonts w:cs="Lohit Devanagari"/>
    </w:rPr>
  </w:style>
  <w:style w:type="paragraph" w:styleId="NormalWeb">
    <w:name w:val="Normal (Web)"/>
    <w:basedOn w:val="Normal"/>
    <w:uiPriority w:val="99"/>
    <w:semiHidden/>
    <w:unhideWhenUsed/>
    <w:qFormat/>
    <w:rsid w:val="00ed3acd"/>
    <w:pPr>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oodlegune.hezkuntza.net/mod/url/view.php?id=2411&amp;redirect=1" TargetMode="External"/><Relationship Id="rId3" Type="http://schemas.openxmlformats.org/officeDocument/2006/relationships/hyperlink" Target="https://moodlegune.hezkuntza.net/mod/url/view.php?id=2414&amp;redirect=1" TargetMode="External"/><Relationship Id="rId4" Type="http://schemas.openxmlformats.org/officeDocument/2006/relationships/hyperlink" Target="https://moodlegune.hezkuntza.net/mod/url/view.php?id=2415&amp;redirect=1" TargetMode="External"/><Relationship Id="rId5" Type="http://schemas.openxmlformats.org/officeDocument/2006/relationships/hyperlink" Target="https://moodlegune.hezkuntza.net/mod/url/view.php?id=2416&amp;redirect=1"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LibreOffice/6.4.7.2$Linux_X86_64 LibreOffice_project/40$Build-2</Application>
  <Pages>2</Pages>
  <Words>366</Words>
  <Characters>2429</Characters>
  <CharactersWithSpaces>2839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2022-06-26T14:31:00Z</dcterms:created>
  <dc:creator>Arrate Ugalde Izaguirre</dc:creator>
  <dc:description/>
  <dc:language>eu-ES</dc:language>
  <cp:lastModifiedBy/>
  <dcterms:modified xsi:type="dcterms:W3CDTF">2022-09-14T10:22:54Z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